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BC76" w14:textId="77777777" w:rsidR="00387D3C" w:rsidRDefault="00387D3C" w:rsidP="00F90332">
      <w:pPr>
        <w:rPr>
          <w:rFonts w:cstheme="minorHAnsi"/>
          <w:b/>
          <w:lang w:val="sr-Cyrl-RS"/>
        </w:rPr>
      </w:pPr>
    </w:p>
    <w:p w14:paraId="50543686" w14:textId="4345703D" w:rsidR="00EC1BB7" w:rsidRPr="00912282" w:rsidRDefault="00EC1BB7" w:rsidP="00EC1BB7">
      <w:pPr>
        <w:jc w:val="center"/>
        <w:rPr>
          <w:rFonts w:cstheme="minorHAnsi"/>
          <w:b/>
          <w:lang w:val="sr-Cyrl-RS"/>
        </w:rPr>
      </w:pPr>
      <w:r w:rsidRPr="00912282">
        <w:rPr>
          <w:rFonts w:cstheme="minorHAnsi"/>
          <w:b/>
          <w:lang w:val="sr-Cyrl-RS"/>
        </w:rPr>
        <w:t xml:space="preserve">Јавни позив за пријављивање </w:t>
      </w:r>
      <w:r w:rsidR="00D27A0F">
        <w:rPr>
          <w:rFonts w:cstheme="minorHAnsi"/>
          <w:b/>
          <w:lang w:val="sr-Cyrl-RS"/>
        </w:rPr>
        <w:t>предавач</w:t>
      </w:r>
      <w:r w:rsidRPr="00912282">
        <w:rPr>
          <w:rFonts w:cstheme="minorHAnsi"/>
          <w:b/>
          <w:lang w:val="sr-Cyrl-RS"/>
        </w:rPr>
        <w:t>а на</w:t>
      </w:r>
      <w:r w:rsidR="00264638">
        <w:rPr>
          <w:rFonts w:cstheme="minorHAnsi"/>
          <w:b/>
          <w:lang w:val="en-US"/>
        </w:rPr>
        <w:t xml:space="preserve"> </w:t>
      </w:r>
      <w:r w:rsidR="00264638">
        <w:rPr>
          <w:rFonts w:cstheme="minorHAnsi"/>
          <w:b/>
          <w:lang w:val="sr-Cyrl-RS"/>
        </w:rPr>
        <w:t>високошколским установама на</w:t>
      </w:r>
      <w:r w:rsidRPr="00912282">
        <w:rPr>
          <w:rFonts w:cstheme="minorHAnsi"/>
          <w:b/>
          <w:lang w:val="sr-Cyrl-RS"/>
        </w:rPr>
        <w:t xml:space="preserve"> обуку</w:t>
      </w:r>
      <w:r w:rsidRPr="00912282">
        <w:rPr>
          <w:rFonts w:cstheme="minorHAnsi"/>
          <w:b/>
          <w:lang w:val="sr-Latn-RS"/>
        </w:rPr>
        <w:t xml:space="preserve"> </w:t>
      </w:r>
      <w:r w:rsidRPr="00912282">
        <w:rPr>
          <w:rFonts w:cstheme="minorHAnsi"/>
          <w:b/>
          <w:lang w:val="sr-Cyrl-RS"/>
        </w:rPr>
        <w:t>за извођење наставе на енглеском језику</w:t>
      </w:r>
    </w:p>
    <w:p w14:paraId="49BC833A" w14:textId="77777777" w:rsidR="00EC1BB7" w:rsidRPr="00504220" w:rsidRDefault="00EC1BB7" w:rsidP="00EC1BB7">
      <w:pPr>
        <w:jc w:val="center"/>
        <w:rPr>
          <w:rFonts w:cstheme="minorHAnsi"/>
          <w:b/>
          <w:sz w:val="22"/>
          <w:szCs w:val="22"/>
          <w:lang w:val="sr-Cyrl-RS"/>
        </w:rPr>
      </w:pPr>
    </w:p>
    <w:p w14:paraId="60032C06" w14:textId="073FF8F4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Фондација Темпус, путем пројекта подржаног од стране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амбасаде Сједињених Америчких Држава (САД) у Београду, објављује јавни позив за обуке </w:t>
      </w:r>
      <w:r w:rsidR="00D27A0F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предавача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за извођење наставе на енглеском језику на четири највећа државна универзитета у Србији: Универзитету у Београду, Универзитету у Новом Саду, Универзитету у Нишу и Универзитету у Крагујевцу.</w:t>
      </w:r>
    </w:p>
    <w:p w14:paraId="74BCC7DB" w14:textId="77777777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A303D6" w14:textId="119C4A8A" w:rsidR="00956A5A" w:rsidRDefault="00EC1BB7" w:rsidP="00956A5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A7A7A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Обука ће бити спроведена од стране стручњака у области англистике и представника горе наведених државних универзитета. Поменути тренери су стручњаци на пољима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English as a Medium of Instruction (EMI)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и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English for Specific Purposes (ESP)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, са искуством у обучавању академског особља и иновативним наставним активностима.</w:t>
      </w:r>
    </w:p>
    <w:p w14:paraId="33E43FF0" w14:textId="77777777" w:rsidR="00956A5A" w:rsidRPr="00956A5A" w:rsidRDefault="00956A5A" w:rsidP="00956A5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A7A7A"/>
          <w:sz w:val="22"/>
          <w:szCs w:val="22"/>
        </w:rPr>
      </w:pPr>
    </w:p>
    <w:p w14:paraId="4DF94FBC" w14:textId="2E58CC51" w:rsidR="00EC1BB7" w:rsidRPr="00282FE6" w:rsidRDefault="00EC1BB7" w:rsidP="00EC1BB7">
      <w:pPr>
        <w:pStyle w:val="NormalWeb"/>
        <w:spacing w:before="0" w:beforeAutospacing="0" w:after="42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По завршетку обуке, очекује се да учесници:</w:t>
      </w:r>
    </w:p>
    <w:p w14:paraId="7074BE14" w14:textId="77777777" w:rsidR="00EC1BB7" w:rsidRPr="00282FE6" w:rsidRDefault="00EC1BB7" w:rsidP="00EC1BB7">
      <w:pPr>
        <w:numPr>
          <w:ilvl w:val="0"/>
          <w:numId w:val="1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Style w:val="Strong"/>
          <w:rFonts w:cstheme="minorHAnsi"/>
          <w:color w:val="000000" w:themeColor="text1"/>
          <w:sz w:val="22"/>
          <w:szCs w:val="22"/>
          <w:bdr w:val="none" w:sz="0" w:space="0" w:color="auto" w:frame="1"/>
        </w:rPr>
        <w:t>Активирају своје језичке вештине у домену језика струке;</w:t>
      </w:r>
    </w:p>
    <w:p w14:paraId="49ACFCDA" w14:textId="77777777" w:rsidR="00EC1BB7" w:rsidRPr="00282FE6" w:rsidRDefault="00EC1BB7" w:rsidP="00EC1BB7">
      <w:pPr>
        <w:numPr>
          <w:ilvl w:val="0"/>
          <w:numId w:val="1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>Овладају знањем и буду у могућности да примене наставне методологије прилагођене међународном окружењу на енглеском језику,</w:t>
      </w:r>
      <w:r w:rsidRPr="00282FE6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cstheme="minorHAnsi"/>
          <w:color w:val="000000" w:themeColor="text1"/>
          <w:sz w:val="22"/>
          <w:szCs w:val="22"/>
          <w:bdr w:val="none" w:sz="0" w:space="0" w:color="auto" w:frame="1"/>
        </w:rPr>
        <w:t>са посебним нагласком на иновативне методе наставе</w:t>
      </w:r>
      <w:r w:rsidRPr="00282FE6">
        <w:rPr>
          <w:rStyle w:val="apple-converted-space"/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Fonts w:cstheme="minorHAnsi"/>
          <w:color w:val="000000" w:themeColor="text1"/>
          <w:sz w:val="22"/>
          <w:szCs w:val="22"/>
        </w:rPr>
        <w:t>(нпр. управљање радом у групама и радом у учионици, подстицање интеракције студената, стратегије за приступ студентима различитих националности и матерњих језика итд.);</w:t>
      </w:r>
    </w:p>
    <w:p w14:paraId="0C6D0D24" w14:textId="77777777" w:rsidR="00EC1BB7" w:rsidRPr="00282FE6" w:rsidRDefault="00EC1BB7" w:rsidP="00EC1BB7">
      <w:pPr>
        <w:numPr>
          <w:ilvl w:val="0"/>
          <w:numId w:val="1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>Овладају знањем и буду у могућности да примене адекватне</w:t>
      </w:r>
      <w:r w:rsidRPr="00282FE6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cstheme="minorHAnsi"/>
          <w:color w:val="000000" w:themeColor="text1"/>
          <w:sz w:val="22"/>
          <w:szCs w:val="22"/>
          <w:bdr w:val="none" w:sz="0" w:space="0" w:color="auto" w:frame="1"/>
        </w:rPr>
        <w:t>методе планирања часова и оцењивања студената у међународном окружењу;</w:t>
      </w:r>
    </w:p>
    <w:p w14:paraId="4E9DDEAA" w14:textId="77777777" w:rsidR="00EC1BB7" w:rsidRPr="00282FE6" w:rsidRDefault="00EC1BB7" w:rsidP="00EC1BB7">
      <w:pPr>
        <w:numPr>
          <w:ilvl w:val="0"/>
          <w:numId w:val="1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>Овладају знањем и буду у могућности да примене</w:t>
      </w:r>
      <w:r w:rsidRPr="00282FE6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cstheme="minorHAnsi"/>
          <w:color w:val="000000" w:themeColor="text1"/>
          <w:sz w:val="22"/>
          <w:szCs w:val="22"/>
          <w:bdr w:val="none" w:sz="0" w:space="0" w:color="auto" w:frame="1"/>
        </w:rPr>
        <w:t>иновативне ИТ алате у настави</w:t>
      </w:r>
      <w:r w:rsidRPr="00282FE6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282FE6">
        <w:rPr>
          <w:rFonts w:cstheme="minorHAnsi"/>
          <w:color w:val="000000" w:themeColor="text1"/>
          <w:sz w:val="22"/>
          <w:szCs w:val="22"/>
        </w:rPr>
        <w:t>на енглеском језику.</w:t>
      </w:r>
    </w:p>
    <w:p w14:paraId="19740FA1" w14:textId="77777777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884E3C" w14:textId="1D5F78E7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Нагласили бисмо да обука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није усмерена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на подизање општих језичких компетенција, већ на специјализовану област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English as a Medium of Instruction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, тј. коришћење енглеског као језика наставе, те је владање енглеским језиком на Б2 нивоу неопходан предуслов за учешће.</w:t>
      </w:r>
    </w:p>
    <w:p w14:paraId="72ADF53B" w14:textId="77777777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2E16DB" w14:textId="1C6502A9" w:rsidR="00EC1BB7" w:rsidRPr="00282FE6" w:rsidRDefault="00EC1BB7" w:rsidP="00EC1BB7">
      <w:pPr>
        <w:pStyle w:val="NormalWeb"/>
        <w:spacing w:before="0" w:beforeAutospacing="0" w:after="42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Обука би отпочела почетком новембра 202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2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године, а њено трајање и динамика били би утврђени у договору између полазника и </w:t>
      </w:r>
      <w:r w:rsidR="00956A5A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тренера,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у зависности од расположивости и преференција полазника, а план је да то буде у трајању од 2 месеца. Обука ће бити организована динамиком једног до два двочаса недељно.</w:t>
      </w:r>
    </w:p>
    <w:p w14:paraId="1F2FBF34" w14:textId="6BB3D2E8" w:rsidR="00EC1BB7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</w:pP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Учешће у обуци је бесплатно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, а учесницима ће бити обезбеђени и материјали за рад. Обука ће бити спроведена у просторијама матичних универзитета</w:t>
      </w:r>
      <w:r w:rsidR="00F253DB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. Обуке на четири универзитета развијене су по истом моделу, али имају своје специфичности прилагођене потребама појединачних универзитета. Стога, сви полазници, без обзира на место пребивалишта</w:t>
      </w:r>
      <w:r w:rsidR="00F253DB" w:rsidRPr="00282FE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F253DB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похађају обуку организовану</w:t>
      </w:r>
      <w:r w:rsidR="00C707F4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 од стране </w:t>
      </w:r>
      <w:r w:rsidR="00F253DB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универзитет</w:t>
      </w:r>
      <w:r w:rsidR="00C707F4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а на коме су запослени.</w:t>
      </w:r>
    </w:p>
    <w:p w14:paraId="6CAF04BE" w14:textId="2999B88D" w:rsidR="00186CC2" w:rsidRDefault="00186CC2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</w:pPr>
    </w:p>
    <w:p w14:paraId="279C699C" w14:textId="77777777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8E314F" w14:textId="440FCE3C" w:rsidR="00053E16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На крају обуке, свим полазницима који положе завршни тест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биће додељен сертификат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који издаје Фондација Темпус.</w:t>
      </w:r>
    </w:p>
    <w:p w14:paraId="18FC326F" w14:textId="77777777" w:rsidR="00053E16" w:rsidRPr="00282FE6" w:rsidRDefault="00053E16" w:rsidP="00EC1BB7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55446599" w14:textId="1C411738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  <w:t>Услови конкурса</w:t>
      </w:r>
    </w:p>
    <w:p w14:paraId="082474EC" w14:textId="77777777" w:rsidR="008922CC" w:rsidRPr="00282FE6" w:rsidRDefault="008922CC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FA7559" w14:textId="69E5575D" w:rsidR="00EC1BB7" w:rsidRPr="00282FE6" w:rsidRDefault="00EC1BB7" w:rsidP="00EC1BB7">
      <w:pPr>
        <w:numPr>
          <w:ilvl w:val="0"/>
          <w:numId w:val="2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>Кандидати морају бити формално повезани са Универзитетом, тј. чланицама у саставу Универзитета и морају имати бар минимални ангажман у извођењу наставе</w:t>
      </w:r>
      <w:r w:rsidR="0077101E" w:rsidRPr="00282FE6">
        <w:rPr>
          <w:rFonts w:cstheme="minorHAnsi"/>
          <w:color w:val="000000" w:themeColor="text1"/>
          <w:sz w:val="22"/>
          <w:szCs w:val="22"/>
          <w:lang w:val="sr-Cyrl-RS"/>
        </w:rPr>
        <w:t xml:space="preserve">. Фондација </w:t>
      </w:r>
      <w:proofErr w:type="spellStart"/>
      <w:r w:rsidR="0077101E" w:rsidRPr="00282FE6">
        <w:rPr>
          <w:rFonts w:cstheme="minorHAnsi"/>
          <w:color w:val="000000" w:themeColor="text1"/>
          <w:sz w:val="22"/>
          <w:szCs w:val="22"/>
          <w:lang w:val="sr-Cyrl-RS"/>
        </w:rPr>
        <w:t>Темпус</w:t>
      </w:r>
      <w:proofErr w:type="spellEnd"/>
      <w:r w:rsidR="0077101E" w:rsidRPr="00282FE6">
        <w:rPr>
          <w:rFonts w:cstheme="minorHAnsi"/>
          <w:color w:val="000000" w:themeColor="text1"/>
          <w:sz w:val="22"/>
          <w:szCs w:val="22"/>
          <w:lang w:val="sr-Cyrl-RS"/>
        </w:rPr>
        <w:t xml:space="preserve"> задржава право да, у сарадњи са ректоратом матичног универзитета пријављених кандидата, затражи на увид документ који потврђује формалну повезаност и ангажовање у настави, када то није очигледно.</w:t>
      </w:r>
    </w:p>
    <w:p w14:paraId="1274BE36" w14:textId="77777777" w:rsidR="00EC1BB7" w:rsidRPr="00504220" w:rsidRDefault="00EC1BB7" w:rsidP="00EC1BB7">
      <w:pPr>
        <w:numPr>
          <w:ilvl w:val="0"/>
          <w:numId w:val="2"/>
        </w:numPr>
        <w:ind w:left="1440"/>
        <w:jc w:val="both"/>
        <w:textAlignment w:val="baseline"/>
        <w:rPr>
          <w:rFonts w:cstheme="minorHAnsi"/>
          <w:color w:val="7A7A7A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>Кандидати морају минимално поседовати језичке вештине на Б2 нивоу у складу са шестостепеном скалом</w:t>
      </w:r>
      <w:r w:rsidRPr="00282FE6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hyperlink r:id="rId8" w:tgtFrame="_blank" w:history="1">
        <w:r w:rsidRPr="00504220">
          <w:rPr>
            <w:rStyle w:val="Hyperlink"/>
            <w:rFonts w:cstheme="minorHAnsi"/>
            <w:sz w:val="22"/>
            <w:szCs w:val="22"/>
            <w:bdr w:val="none" w:sz="0" w:space="0" w:color="auto" w:frame="1"/>
          </w:rPr>
          <w:t>Заједничког европског оквира за живе језике (</w:t>
        </w:r>
        <w:r w:rsidRPr="00504220">
          <w:rPr>
            <w:rStyle w:val="Emphasis"/>
            <w:rFonts w:cstheme="minorHAnsi"/>
            <w:color w:val="0000FF"/>
            <w:sz w:val="22"/>
            <w:szCs w:val="22"/>
            <w:bdr w:val="none" w:sz="0" w:space="0" w:color="auto" w:frame="1"/>
          </w:rPr>
          <w:t>Common European Framework of Reference for Languages – CEFR</w:t>
        </w:r>
      </w:hyperlink>
      <w:r w:rsidRPr="00504220">
        <w:rPr>
          <w:rFonts w:cstheme="minorHAnsi"/>
          <w:color w:val="7A7A7A"/>
          <w:sz w:val="22"/>
          <w:szCs w:val="22"/>
        </w:rPr>
        <w:t>).</w:t>
      </w:r>
    </w:p>
    <w:p w14:paraId="23B1E028" w14:textId="77777777" w:rsidR="00EC1BB7" w:rsidRPr="00504220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inorHAnsi" w:eastAsiaTheme="majorEastAsia" w:hAnsiTheme="minorHAnsi" w:cstheme="minorHAnsi"/>
          <w:color w:val="7A7A7A"/>
          <w:sz w:val="22"/>
          <w:szCs w:val="22"/>
          <w:u w:val="single"/>
          <w:bdr w:val="none" w:sz="0" w:space="0" w:color="auto" w:frame="1"/>
        </w:rPr>
      </w:pPr>
    </w:p>
    <w:p w14:paraId="79F11D65" w14:textId="0DB92872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  <w:t>Критеријуми селекције кандидата</w:t>
      </w:r>
    </w:p>
    <w:p w14:paraId="13514CD9" w14:textId="77777777" w:rsidR="0077101E" w:rsidRPr="00282FE6" w:rsidRDefault="0077101E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72074A" w14:textId="1441FC89" w:rsidR="004F3018" w:rsidRPr="00282FE6" w:rsidRDefault="00EC1BB7" w:rsidP="0077101E">
      <w:pPr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b/>
          <w:bCs/>
          <w:color w:val="000000" w:themeColor="text1"/>
          <w:sz w:val="22"/>
          <w:szCs w:val="22"/>
        </w:rPr>
        <w:t>Ниво познавања језика</w:t>
      </w:r>
      <w:r w:rsidRPr="00282FE6">
        <w:rPr>
          <w:rFonts w:cstheme="minorHAnsi"/>
          <w:color w:val="000000" w:themeColor="text1"/>
          <w:sz w:val="22"/>
          <w:szCs w:val="22"/>
        </w:rPr>
        <w:t xml:space="preserve"> у тренутку пријаве </w:t>
      </w:r>
      <w:r w:rsidR="004F3018" w:rsidRPr="00282FE6">
        <w:rPr>
          <w:rFonts w:cstheme="minorHAnsi"/>
          <w:color w:val="000000" w:themeColor="text1"/>
          <w:sz w:val="22"/>
          <w:szCs w:val="22"/>
          <w:lang w:val="sr-Cyrl-RS"/>
        </w:rPr>
        <w:t xml:space="preserve">ће бити </w:t>
      </w:r>
      <w:r w:rsidRPr="00282FE6">
        <w:rPr>
          <w:rFonts w:cstheme="minorHAnsi"/>
          <w:color w:val="000000" w:themeColor="text1"/>
          <w:sz w:val="22"/>
          <w:szCs w:val="22"/>
        </w:rPr>
        <w:t>примарни критеријум</w:t>
      </w:r>
      <w:r w:rsidR="004F3018" w:rsidRPr="00282FE6">
        <w:rPr>
          <w:rFonts w:cstheme="minorHAnsi"/>
          <w:color w:val="000000" w:themeColor="text1"/>
          <w:sz w:val="22"/>
          <w:szCs w:val="22"/>
          <w:lang w:val="sr-Cyrl-RS"/>
        </w:rPr>
        <w:t xml:space="preserve"> селекције.</w:t>
      </w:r>
    </w:p>
    <w:p w14:paraId="4281D4F5" w14:textId="77777777" w:rsidR="004F3018" w:rsidRPr="00282FE6" w:rsidRDefault="004F3018" w:rsidP="004F3018">
      <w:p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</w:p>
    <w:p w14:paraId="448E74C1" w14:textId="368CB8AF" w:rsidR="004F3018" w:rsidRPr="00282FE6" w:rsidRDefault="004F3018" w:rsidP="004F3018">
      <w:pPr>
        <w:pStyle w:val="NormalWeb"/>
        <w:spacing w:before="0" w:beforeAutospacing="0" w:after="0" w:afterAutospacing="0"/>
        <w:jc w:val="both"/>
        <w:textAlignment w:val="baseline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Након истека рока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 з</w:t>
      </w:r>
      <w:r w:rsidR="00904EFA">
        <w:rPr>
          <w:rFonts w:asciiTheme="minorHAnsi" w:hAnsiTheme="minorHAnsi" w:cstheme="minorHAnsi"/>
          <w:color w:val="000000" w:themeColor="text1"/>
          <w:sz w:val="22"/>
          <w:szCs w:val="22"/>
          <w:lang w:val="sr-Latn-RS"/>
        </w:rPr>
        <w:t>a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 пријаву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а у циљу 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процене језичких компетенција, те 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осигурања хомогености групе, сви кандидати који испуњавају 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формални услов 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конкурса полагаће улазни тест језичких компетенција. 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Т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естирање </w:t>
      </w:r>
      <w:r w:rsidR="00904EFA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ће 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бити спроведено у сарадњи са предавачима, стручњацима у области англистике и представника горе наведених државних универзитета.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Тестирање пријављених кандидата је планирано за период од 20. до 25. октобра. </w:t>
      </w:r>
    </w:p>
    <w:p w14:paraId="2821E5E8" w14:textId="4FFEBD65" w:rsidR="004F3018" w:rsidRPr="00282FE6" w:rsidRDefault="004F3018" w:rsidP="004F3018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Напомена: сви кандидати који поседују сертификат међународно признатих тестова који су издати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у протеклих 5 година у односу на датум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пријаве на конкурс могу приложити овај сертификат који ће бити посматран као замена за тестирање. Признају се следећи сертификати: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Emphasis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IELTS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(са минималним резултатом 7.5),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Style w:val="Emphasis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TOEFL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(са минималним резултатом 90),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као и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Emphasis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Cambridge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испити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Style w:val="Emphasis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FCE, CAE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и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Style w:val="Emphasis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CP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7AB4B569" w14:textId="77777777" w:rsidR="0077101E" w:rsidRPr="00282FE6" w:rsidRDefault="0077101E" w:rsidP="004F30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C2D4FF" w14:textId="485B801F" w:rsidR="004F3018" w:rsidRPr="00282FE6" w:rsidRDefault="0077101E" w:rsidP="0077101E">
      <w:pPr>
        <w:jc w:val="both"/>
        <w:textAlignment w:val="baseline"/>
        <w:rPr>
          <w:rFonts w:cstheme="minorHAnsi"/>
          <w:color w:val="000000" w:themeColor="text1"/>
          <w:sz w:val="22"/>
          <w:szCs w:val="22"/>
          <w:lang w:val="sr-Cyrl-RS"/>
        </w:rPr>
      </w:pPr>
      <w:r w:rsidRPr="00282FE6">
        <w:rPr>
          <w:rFonts w:cstheme="minorHAnsi"/>
          <w:color w:val="000000" w:themeColor="text1"/>
          <w:sz w:val="22"/>
          <w:szCs w:val="22"/>
          <w:lang w:val="sr-Cyrl-RS"/>
        </w:rPr>
        <w:t>У граничним случајевима, када више кандидата на улазном тесту оствари идентичан број поена, а нема довољно места у групама, могу бити примењени и следећи критеријуми:</w:t>
      </w:r>
    </w:p>
    <w:p w14:paraId="01B409FB" w14:textId="5E8B1EF7" w:rsidR="00EC1BB7" w:rsidRPr="00282FE6" w:rsidRDefault="00EC1BB7" w:rsidP="00EC1BB7">
      <w:pPr>
        <w:numPr>
          <w:ilvl w:val="0"/>
          <w:numId w:val="3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 xml:space="preserve">Врста радног односа, односно ангажовања на </w:t>
      </w:r>
      <w:r w:rsidR="0077101E" w:rsidRPr="00282FE6">
        <w:rPr>
          <w:rFonts w:cstheme="minorHAnsi"/>
          <w:color w:val="000000" w:themeColor="text1"/>
          <w:sz w:val="22"/>
          <w:szCs w:val="22"/>
          <w:lang w:val="sr-Cyrl-RS"/>
        </w:rPr>
        <w:t>матичној високошколској установи</w:t>
      </w:r>
      <w:r w:rsidRPr="00282FE6">
        <w:rPr>
          <w:rFonts w:cstheme="minorHAnsi"/>
          <w:color w:val="000000" w:themeColor="text1"/>
          <w:sz w:val="22"/>
          <w:szCs w:val="22"/>
        </w:rPr>
        <w:t>;</w:t>
      </w:r>
    </w:p>
    <w:p w14:paraId="72EF8433" w14:textId="77777777" w:rsidR="00EC1BB7" w:rsidRPr="00282FE6" w:rsidRDefault="00EC1BB7" w:rsidP="00EC1BB7">
      <w:pPr>
        <w:numPr>
          <w:ilvl w:val="0"/>
          <w:numId w:val="3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>Проценат ангажмана у настави;</w:t>
      </w:r>
    </w:p>
    <w:p w14:paraId="69AF8433" w14:textId="794F3349" w:rsidR="00EC1BB7" w:rsidRPr="00282FE6" w:rsidRDefault="00AF5140" w:rsidP="00EC1BB7">
      <w:pPr>
        <w:numPr>
          <w:ilvl w:val="0"/>
          <w:numId w:val="3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  <w:lang w:val="sr-Cyrl-RS"/>
        </w:rPr>
        <w:t xml:space="preserve">Могућност </w:t>
      </w:r>
      <w:r w:rsidR="00EC1BB7" w:rsidRPr="00282FE6">
        <w:rPr>
          <w:rFonts w:cstheme="minorHAnsi"/>
          <w:color w:val="000000" w:themeColor="text1"/>
          <w:sz w:val="22"/>
          <w:szCs w:val="22"/>
        </w:rPr>
        <w:t>извођењ</w:t>
      </w:r>
      <w:r w:rsidRPr="00282FE6">
        <w:rPr>
          <w:rFonts w:cstheme="minorHAnsi"/>
          <w:color w:val="000000" w:themeColor="text1"/>
          <w:sz w:val="22"/>
          <w:szCs w:val="22"/>
          <w:lang w:val="sr-Cyrl-RS"/>
        </w:rPr>
        <w:t>а</w:t>
      </w:r>
      <w:r w:rsidR="00EC1BB7" w:rsidRPr="00282FE6">
        <w:rPr>
          <w:rFonts w:cstheme="minorHAnsi"/>
          <w:color w:val="000000" w:themeColor="text1"/>
          <w:sz w:val="22"/>
          <w:szCs w:val="22"/>
        </w:rPr>
        <w:t xml:space="preserve"> наставних предмета на енглеском језику (акредитација студијског програма на енглеском језику, искуство у раду са страним студентима, доступност предмета на енглеском језику у каталогу предмета Универзитета, заинтересованост страних студената за ову академску област и сл.);</w:t>
      </w:r>
    </w:p>
    <w:p w14:paraId="0D6F8A0C" w14:textId="77777777" w:rsidR="00EC1BB7" w:rsidRPr="00282FE6" w:rsidRDefault="00EC1BB7" w:rsidP="00EC1BB7">
      <w:pPr>
        <w:numPr>
          <w:ilvl w:val="0"/>
          <w:numId w:val="3"/>
        </w:num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282FE6">
        <w:rPr>
          <w:rFonts w:cstheme="minorHAnsi"/>
          <w:color w:val="000000" w:themeColor="text1"/>
          <w:sz w:val="22"/>
          <w:szCs w:val="22"/>
        </w:rPr>
        <w:t>Мотивација.</w:t>
      </w:r>
    </w:p>
    <w:p w14:paraId="0B0FA8F5" w14:textId="77777777" w:rsidR="00EC1BB7" w:rsidRPr="00282FE6" w:rsidRDefault="00EC1BB7" w:rsidP="00EC1BB7">
      <w:pPr>
        <w:ind w:left="1440"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</w:p>
    <w:p w14:paraId="72D17420" w14:textId="78E1368D" w:rsidR="00EC1BB7" w:rsidRPr="00282FE6" w:rsidRDefault="00EC1BB7" w:rsidP="00EC1BB7">
      <w:pPr>
        <w:pStyle w:val="NormalWeb"/>
        <w:spacing w:before="0" w:beforeAutospacing="0" w:after="42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</w:pPr>
      <w:r w:rsidRPr="00282F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Напомена: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Приликом селекције, предност ће бити дата кандидатима који нису учествовали на обукама спроведеним у оквиру </w:t>
      </w:r>
      <w:r w:rsidR="00BD1DD0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ове иницијативе у академској 2019</w:t>
      </w:r>
      <w:r w:rsidR="00BD1DD0" w:rsidRPr="00282FE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/2020.</w:t>
      </w:r>
      <w:r w:rsidR="00BD1DD0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 и</w:t>
      </w:r>
      <w:r w:rsidR="00BD1DD0" w:rsidRPr="00282FE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2021/2022. </w:t>
      </w:r>
      <w:r w:rsidR="00AF5140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г</w:t>
      </w:r>
      <w:r w:rsidR="00BD1DD0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один</w:t>
      </w:r>
      <w:r w:rsidR="00AF5140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и</w:t>
      </w:r>
      <w:r w:rsidR="004F3018" w:rsidRPr="00282F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.</w:t>
      </w:r>
    </w:p>
    <w:p w14:paraId="6860E782" w14:textId="77777777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  <w:lastRenderedPageBreak/>
        <w:t>Начин пријаве</w:t>
      </w:r>
    </w:p>
    <w:p w14:paraId="689E580A" w14:textId="77777777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A47477" w14:textId="01EF7E8D" w:rsidR="00EC1BB7" w:rsidRPr="00282FE6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Пријаву за обуку је потребно попунити, путем</w:t>
      </w:r>
      <w:r w:rsidR="0011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 </w:t>
      </w:r>
      <w:hyperlink r:id="rId9" w:history="1">
        <w:r w:rsidRPr="0011361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овог пријавног формулара</w:t>
        </w:r>
        <w:r w:rsidRPr="00113617">
          <w:rPr>
            <w:rStyle w:val="Hyperlink"/>
            <w:rFonts w:asciiTheme="minorHAnsi" w:hAnsiTheme="minorHAnsi" w:cstheme="minorHAnsi"/>
            <w:sz w:val="22"/>
            <w:szCs w:val="22"/>
          </w:rPr>
          <w:t>,</w:t>
        </w:r>
      </w:hyperlink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најкасније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до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="00D27A0F"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  <w:lang w:val="sr-Cyrl-RS"/>
        </w:rPr>
        <w:t>недељ</w:t>
      </w:r>
      <w:r w:rsidR="00113617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  <w:lang w:val="sr-Cyrl-RS"/>
        </w:rPr>
        <w:t>е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15. октобра 202</w:t>
      </w:r>
      <w:r w:rsidR="00053E16"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  <w:lang w:val="sr-Cyrl-RS"/>
        </w:rPr>
        <w:t>2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 године у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="00D27A0F"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  <w:lang w:val="sr-Cyrl-RS"/>
        </w:rPr>
        <w:t>23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</w:t>
      </w:r>
      <w:r w:rsidR="00D27A0F"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  <w:lang w:val="sr-Cyrl-RS"/>
        </w:rPr>
        <w:t>59</w:t>
      </w:r>
      <w:r w:rsidRPr="00282FE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82FE6">
        <w:rPr>
          <w:rStyle w:val="Strong"/>
          <w:rFonts w:asciiTheme="minorHAnsi" w:eastAsiaTheme="maj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часова.</w:t>
      </w:r>
    </w:p>
    <w:p w14:paraId="779952B1" w14:textId="77777777" w:rsidR="008922CC" w:rsidRPr="00504220" w:rsidRDefault="008922CC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A7A7A"/>
          <w:sz w:val="22"/>
          <w:szCs w:val="22"/>
        </w:rPr>
      </w:pPr>
    </w:p>
    <w:p w14:paraId="4B4B62CE" w14:textId="77777777" w:rsidR="00EC1BB7" w:rsidRPr="00504220" w:rsidRDefault="00EC1BB7" w:rsidP="00EC1BB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A7A7A"/>
          <w:sz w:val="22"/>
          <w:szCs w:val="22"/>
        </w:rPr>
      </w:pP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За сва додатна питања будите слободни да контактирате Групу за високо образовање, путем имејл адресе</w:t>
      </w:r>
      <w:r w:rsidRPr="00282FE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10" w:history="1">
        <w:r w:rsidRPr="00504220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higher-education@tempus.ac.rs</w:t>
        </w:r>
      </w:hyperlink>
      <w:r w:rsidRPr="00504220">
        <w:rPr>
          <w:rStyle w:val="apple-converted-space"/>
          <w:rFonts w:asciiTheme="minorHAnsi" w:hAnsiTheme="minorHAnsi" w:cstheme="minorHAnsi"/>
          <w:color w:val="7A7A7A"/>
          <w:sz w:val="22"/>
          <w:szCs w:val="22"/>
        </w:rPr>
        <w:t> </w:t>
      </w:r>
      <w:r w:rsidRPr="00282FE6">
        <w:rPr>
          <w:rFonts w:asciiTheme="minorHAnsi" w:hAnsiTheme="minorHAnsi" w:cstheme="minorHAnsi"/>
          <w:color w:val="000000" w:themeColor="text1"/>
          <w:sz w:val="22"/>
          <w:szCs w:val="22"/>
        </w:rPr>
        <w:t>или путем телефона (+381 11 33 42 430, опција 4).</w:t>
      </w:r>
    </w:p>
    <w:p w14:paraId="746979A8" w14:textId="77777777" w:rsidR="000B605F" w:rsidRPr="00504220" w:rsidRDefault="000B605F">
      <w:pPr>
        <w:rPr>
          <w:rFonts w:cstheme="minorHAnsi"/>
          <w:sz w:val="22"/>
          <w:szCs w:val="22"/>
          <w:lang w:val="sr-Cyrl-RS"/>
        </w:rPr>
      </w:pPr>
    </w:p>
    <w:sectPr w:rsidR="000B605F" w:rsidRPr="0050422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EA9B" w14:textId="77777777" w:rsidR="00C9790C" w:rsidRDefault="00C9790C" w:rsidP="00387D3C">
      <w:r>
        <w:separator/>
      </w:r>
    </w:p>
  </w:endnote>
  <w:endnote w:type="continuationSeparator" w:id="0">
    <w:p w14:paraId="3AE45A29" w14:textId="77777777" w:rsidR="00C9790C" w:rsidRDefault="00C9790C" w:rsidP="003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EA74" w14:textId="77777777" w:rsidR="00C9790C" w:rsidRDefault="00C9790C" w:rsidP="00387D3C">
      <w:r>
        <w:separator/>
      </w:r>
    </w:p>
  </w:footnote>
  <w:footnote w:type="continuationSeparator" w:id="0">
    <w:p w14:paraId="37C85461" w14:textId="77777777" w:rsidR="00C9790C" w:rsidRDefault="00C9790C" w:rsidP="0038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6BD4" w14:textId="7BFA8A7E" w:rsidR="00387D3C" w:rsidRDefault="00F903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7CA60" wp14:editId="4A1DE0DE">
          <wp:simplePos x="0" y="0"/>
          <wp:positionH relativeFrom="column">
            <wp:posOffset>5345430</wp:posOffset>
          </wp:positionH>
          <wp:positionV relativeFrom="paragraph">
            <wp:posOffset>384637</wp:posOffset>
          </wp:positionV>
          <wp:extent cx="574818" cy="55041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18" cy="55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5B56F0" wp14:editId="1833124E">
          <wp:extent cx="1559121" cy="1606858"/>
          <wp:effectExtent l="0" t="0" r="3175" b="6350"/>
          <wp:docPr id="2" name="Picture 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31" cy="178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AD0"/>
    <w:multiLevelType w:val="multilevel"/>
    <w:tmpl w:val="7BE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7308B"/>
    <w:multiLevelType w:val="multilevel"/>
    <w:tmpl w:val="0A5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910AEF"/>
    <w:multiLevelType w:val="multilevel"/>
    <w:tmpl w:val="2354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195592">
    <w:abstractNumId w:val="0"/>
  </w:num>
  <w:num w:numId="2" w16cid:durableId="145171112">
    <w:abstractNumId w:val="2"/>
  </w:num>
  <w:num w:numId="3" w16cid:durableId="76561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B7"/>
    <w:rsid w:val="00053E16"/>
    <w:rsid w:val="000B605F"/>
    <w:rsid w:val="000D7068"/>
    <w:rsid w:val="00113617"/>
    <w:rsid w:val="00165083"/>
    <w:rsid w:val="00186CC2"/>
    <w:rsid w:val="00264638"/>
    <w:rsid w:val="00282FE6"/>
    <w:rsid w:val="00364563"/>
    <w:rsid w:val="00387D3C"/>
    <w:rsid w:val="0039093F"/>
    <w:rsid w:val="003F3E1D"/>
    <w:rsid w:val="004C02E0"/>
    <w:rsid w:val="004F3018"/>
    <w:rsid w:val="00504220"/>
    <w:rsid w:val="0077101E"/>
    <w:rsid w:val="007F1E24"/>
    <w:rsid w:val="008922CC"/>
    <w:rsid w:val="00904EFA"/>
    <w:rsid w:val="00912282"/>
    <w:rsid w:val="00955A74"/>
    <w:rsid w:val="00956A5A"/>
    <w:rsid w:val="00AF5140"/>
    <w:rsid w:val="00B443C3"/>
    <w:rsid w:val="00BD1DD0"/>
    <w:rsid w:val="00C421A6"/>
    <w:rsid w:val="00C707F4"/>
    <w:rsid w:val="00C9790C"/>
    <w:rsid w:val="00D27A0F"/>
    <w:rsid w:val="00EC1BB7"/>
    <w:rsid w:val="00F02F49"/>
    <w:rsid w:val="00F253DB"/>
    <w:rsid w:val="00F81273"/>
    <w:rsid w:val="00F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C7D796"/>
  <w15:chartTrackingRefBased/>
  <w15:docId w15:val="{87014FFF-21EC-C946-A70E-D0A87AF9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1B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C1BB7"/>
  </w:style>
  <w:style w:type="character" w:styleId="Emphasis">
    <w:name w:val="Emphasis"/>
    <w:basedOn w:val="DefaultParagraphFont"/>
    <w:uiPriority w:val="20"/>
    <w:qFormat/>
    <w:rsid w:val="00EC1BB7"/>
    <w:rPr>
      <w:i/>
      <w:iCs/>
    </w:rPr>
  </w:style>
  <w:style w:type="character" w:styleId="Strong">
    <w:name w:val="Strong"/>
    <w:basedOn w:val="DefaultParagraphFont"/>
    <w:uiPriority w:val="22"/>
    <w:qFormat/>
    <w:rsid w:val="00EC1BB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53E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4EFA"/>
  </w:style>
  <w:style w:type="paragraph" w:styleId="Header">
    <w:name w:val="header"/>
    <w:basedOn w:val="Normal"/>
    <w:link w:val="HeaderChar"/>
    <w:uiPriority w:val="99"/>
    <w:unhideWhenUsed/>
    <w:rsid w:val="00387D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D3C"/>
  </w:style>
  <w:style w:type="paragraph" w:styleId="Footer">
    <w:name w:val="footer"/>
    <w:basedOn w:val="Normal"/>
    <w:link w:val="FooterChar"/>
    <w:uiPriority w:val="99"/>
    <w:unhideWhenUsed/>
    <w:rsid w:val="00387D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oERMPublicCommonSearchServices/DisplayDCTMContent?documentId=090000168045bb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igher-education@tempus.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MywiFjYlvkSOe-NY0iKvXuFIq3jM4pROlYiJ5FlOw1ZUNzVBRTc3WllaRzBaRFMzRUVKRDlUVzBMTyQlQCN0PW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91D3B-7C15-7D46-B5BE-C12E856B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Stanković</dc:creator>
  <cp:keywords/>
  <dc:description/>
  <cp:lastModifiedBy>Tatjana Stanković</cp:lastModifiedBy>
  <cp:revision>7</cp:revision>
  <dcterms:created xsi:type="dcterms:W3CDTF">2022-09-20T16:01:00Z</dcterms:created>
  <dcterms:modified xsi:type="dcterms:W3CDTF">2022-09-21T10:39:00Z</dcterms:modified>
</cp:coreProperties>
</file>